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CE" w:rsidRDefault="00E666CE" w:rsidP="000477A0">
      <w:pPr>
        <w:spacing w:after="600" w:line="240" w:lineRule="auto"/>
        <w:jc w:val="both"/>
        <w:rPr>
          <w:rFonts w:ascii="Arial" w:hAnsi="Arial" w:cs="Arial"/>
          <w:b/>
          <w:sz w:val="32"/>
          <w:szCs w:val="32"/>
        </w:rPr>
      </w:pPr>
      <w:r w:rsidRPr="00E666CE">
        <w:rPr>
          <w:rFonts w:ascii="Arial" w:hAnsi="Arial" w:cs="Arial"/>
          <w:b/>
          <w:sz w:val="32"/>
          <w:szCs w:val="32"/>
        </w:rPr>
        <w:t>Ko</w:t>
      </w:r>
      <w:bookmarkStart w:id="0" w:name="_GoBack"/>
      <w:bookmarkEnd w:id="0"/>
      <w:r w:rsidRPr="00E666CE">
        <w:rPr>
          <w:rFonts w:ascii="Arial" w:hAnsi="Arial" w:cs="Arial"/>
          <w:b/>
          <w:sz w:val="32"/>
          <w:szCs w:val="32"/>
        </w:rPr>
        <w:t>mpetenzenkatalog</w:t>
      </w:r>
    </w:p>
    <w:p w:rsidR="00E666CE" w:rsidRPr="00E666CE" w:rsidRDefault="00E666CE" w:rsidP="000477A0">
      <w:pPr>
        <w:spacing w:after="0" w:line="240" w:lineRule="auto"/>
        <w:jc w:val="both"/>
        <w:rPr>
          <w:rFonts w:ascii="Arial" w:hAnsi="Arial" w:cs="Arial"/>
          <w:b/>
        </w:rPr>
      </w:pPr>
      <w:r w:rsidRPr="00E666CE">
        <w:rPr>
          <w:rFonts w:ascii="Arial" w:hAnsi="Arial" w:cs="Arial"/>
          <w:b/>
        </w:rPr>
        <w:t>Definition von Kompetenzen:</w:t>
      </w:r>
    </w:p>
    <w:p w:rsidR="00E666CE" w:rsidRPr="00E666CE" w:rsidRDefault="00E666CE" w:rsidP="000477A0">
      <w:pPr>
        <w:spacing w:after="0" w:line="240" w:lineRule="auto"/>
        <w:jc w:val="both"/>
        <w:rPr>
          <w:rFonts w:ascii="Arial" w:hAnsi="Arial" w:cs="Arial"/>
          <w:b/>
        </w:rPr>
      </w:pPr>
    </w:p>
    <w:p w:rsidR="00E666CE" w:rsidRPr="00E666CE" w:rsidRDefault="00E666CE" w:rsidP="000477A0">
      <w:pPr>
        <w:spacing w:after="0" w:line="240" w:lineRule="auto"/>
        <w:jc w:val="both"/>
        <w:rPr>
          <w:rFonts w:ascii="Arial" w:hAnsi="Arial" w:cs="Arial"/>
          <w:b/>
          <w:u w:val="single"/>
        </w:rPr>
      </w:pPr>
      <w:r w:rsidRPr="00E666CE">
        <w:rPr>
          <w:rFonts w:ascii="Arial" w:hAnsi="Arial" w:cs="Arial"/>
          <w:b/>
          <w:u w:val="single"/>
        </w:rPr>
        <w:t>Fachkompetenz</w:t>
      </w:r>
    </w:p>
    <w:p w:rsidR="00E666CE" w:rsidRDefault="00E666CE" w:rsidP="000477A0">
      <w:pPr>
        <w:spacing w:after="0" w:line="240" w:lineRule="auto"/>
        <w:jc w:val="both"/>
        <w:rPr>
          <w:rFonts w:ascii="Arial" w:hAnsi="Arial" w:cs="Arial"/>
        </w:rPr>
      </w:pPr>
    </w:p>
    <w:p w:rsidR="00E666CE" w:rsidRDefault="00E666CE" w:rsidP="000477A0">
      <w:pPr>
        <w:spacing w:after="0" w:line="240" w:lineRule="auto"/>
        <w:jc w:val="both"/>
        <w:rPr>
          <w:rFonts w:ascii="Arial" w:hAnsi="Arial" w:cs="Arial"/>
          <w:b/>
          <w:i/>
        </w:rPr>
      </w:pPr>
      <w:r w:rsidRPr="00E666CE">
        <w:rPr>
          <w:rFonts w:ascii="Arial" w:hAnsi="Arial" w:cs="Arial"/>
          <w:b/>
          <w:i/>
        </w:rPr>
        <w:t>Theoretisches Wissen</w:t>
      </w:r>
    </w:p>
    <w:p w:rsidR="00E666CE" w:rsidRDefault="00E666CE" w:rsidP="000477A0">
      <w:pPr>
        <w:pStyle w:val="Listenabsatz"/>
        <w:numPr>
          <w:ilvl w:val="0"/>
          <w:numId w:val="1"/>
        </w:numPr>
        <w:spacing w:after="0" w:line="240" w:lineRule="auto"/>
        <w:ind w:left="0"/>
        <w:jc w:val="both"/>
        <w:rPr>
          <w:rFonts w:ascii="Arial" w:hAnsi="Arial" w:cs="Arial"/>
        </w:rPr>
      </w:pPr>
      <w:r>
        <w:rPr>
          <w:rFonts w:ascii="Arial" w:hAnsi="Arial" w:cs="Arial"/>
        </w:rPr>
        <w:t>Eine Person hat die notwendigen Grundlagenkenntnisse, die Aufgaben zu lösen und wird mit den normalen Aufgaben selbständig fertig. Die Vorgehensweise wird richtig angewendet.</w:t>
      </w:r>
    </w:p>
    <w:p w:rsidR="00E666CE" w:rsidRDefault="00E666CE" w:rsidP="000477A0">
      <w:pPr>
        <w:spacing w:after="0" w:line="240" w:lineRule="auto"/>
        <w:jc w:val="both"/>
        <w:rPr>
          <w:rFonts w:ascii="Arial" w:hAnsi="Arial" w:cs="Arial"/>
        </w:rPr>
      </w:pPr>
    </w:p>
    <w:p w:rsidR="00E666CE" w:rsidRPr="00E666CE" w:rsidRDefault="00E666CE" w:rsidP="000477A0">
      <w:pPr>
        <w:spacing w:after="0" w:line="240" w:lineRule="auto"/>
        <w:jc w:val="both"/>
        <w:rPr>
          <w:rFonts w:ascii="Arial" w:hAnsi="Arial" w:cs="Arial"/>
          <w:b/>
          <w:i/>
        </w:rPr>
      </w:pPr>
      <w:r w:rsidRPr="00E666CE">
        <w:rPr>
          <w:rFonts w:ascii="Arial" w:hAnsi="Arial" w:cs="Arial"/>
          <w:b/>
          <w:i/>
        </w:rPr>
        <w:t>Praktisches Können</w:t>
      </w:r>
    </w:p>
    <w:p w:rsidR="00E666CE" w:rsidRDefault="00E666CE" w:rsidP="000477A0">
      <w:pPr>
        <w:pStyle w:val="Listenabsatz"/>
        <w:numPr>
          <w:ilvl w:val="0"/>
          <w:numId w:val="1"/>
        </w:numPr>
        <w:spacing w:after="0" w:line="240" w:lineRule="auto"/>
        <w:ind w:left="0"/>
        <w:jc w:val="both"/>
        <w:rPr>
          <w:rFonts w:ascii="Arial" w:hAnsi="Arial" w:cs="Arial"/>
        </w:rPr>
      </w:pPr>
      <w:r>
        <w:rPr>
          <w:rFonts w:ascii="Arial" w:hAnsi="Arial" w:cs="Arial"/>
        </w:rPr>
        <w:t>Die Grundkenntnisse sind vorhanden, um die Aufgaben in der entsprechenden Funktion selbständig zu lösen. In normalen Situationen wird das vorhandene Wissen selbständig umgesetzt.</w:t>
      </w:r>
    </w:p>
    <w:p w:rsidR="00E666CE" w:rsidRDefault="00E666CE" w:rsidP="000477A0">
      <w:pPr>
        <w:spacing w:after="0" w:line="240" w:lineRule="auto"/>
        <w:jc w:val="both"/>
        <w:rPr>
          <w:rFonts w:ascii="Arial" w:hAnsi="Arial" w:cs="Arial"/>
        </w:rPr>
      </w:pPr>
    </w:p>
    <w:p w:rsidR="00E666CE" w:rsidRPr="00E666CE" w:rsidRDefault="00E666CE" w:rsidP="000477A0">
      <w:pPr>
        <w:spacing w:after="0" w:line="240" w:lineRule="auto"/>
        <w:jc w:val="both"/>
        <w:rPr>
          <w:rFonts w:ascii="Arial" w:hAnsi="Arial" w:cs="Arial"/>
          <w:b/>
          <w:i/>
        </w:rPr>
      </w:pPr>
      <w:r w:rsidRPr="00E666CE">
        <w:rPr>
          <w:rFonts w:ascii="Arial" w:hAnsi="Arial" w:cs="Arial"/>
          <w:b/>
          <w:i/>
        </w:rPr>
        <w:t>Arbeitstechnik</w:t>
      </w:r>
    </w:p>
    <w:p w:rsidR="00E666CE" w:rsidRDefault="00E666CE" w:rsidP="000477A0">
      <w:pPr>
        <w:pStyle w:val="Listenabsatz"/>
        <w:numPr>
          <w:ilvl w:val="0"/>
          <w:numId w:val="1"/>
        </w:numPr>
        <w:spacing w:after="0" w:line="240" w:lineRule="auto"/>
        <w:ind w:left="0"/>
        <w:jc w:val="both"/>
        <w:rPr>
          <w:rFonts w:ascii="Arial" w:hAnsi="Arial" w:cs="Arial"/>
        </w:rPr>
      </w:pPr>
      <w:r>
        <w:rPr>
          <w:rFonts w:ascii="Arial" w:hAnsi="Arial" w:cs="Arial"/>
        </w:rPr>
        <w:t>Probleme im Aufgabengebiet können aufgrund von Erfahrungen sachkundig und effizient gelöst werden. Es besteht die Fähigkeit, Alternativen zu erkennen, um das bestmögliche Resultat zu erreichen. Vorhandene Hilfsmittel und Instrumente werden sinnvoll genutzt.</w:t>
      </w:r>
    </w:p>
    <w:p w:rsidR="00E666CE" w:rsidRDefault="00E666CE" w:rsidP="000477A0">
      <w:pPr>
        <w:spacing w:after="0" w:line="240" w:lineRule="auto"/>
        <w:jc w:val="both"/>
        <w:rPr>
          <w:rFonts w:ascii="Arial" w:hAnsi="Arial" w:cs="Arial"/>
        </w:rPr>
      </w:pPr>
    </w:p>
    <w:p w:rsidR="00E666CE" w:rsidRPr="00F52353" w:rsidRDefault="00F52353" w:rsidP="000477A0">
      <w:pPr>
        <w:spacing w:after="0" w:line="240" w:lineRule="auto"/>
        <w:jc w:val="both"/>
        <w:rPr>
          <w:rFonts w:ascii="Arial" w:hAnsi="Arial" w:cs="Arial"/>
          <w:b/>
          <w:u w:val="single"/>
        </w:rPr>
      </w:pPr>
      <w:r w:rsidRPr="00F52353">
        <w:rPr>
          <w:rFonts w:ascii="Arial" w:hAnsi="Arial" w:cs="Arial"/>
          <w:b/>
          <w:u w:val="single"/>
        </w:rPr>
        <w:t>Selbstkompetenz</w:t>
      </w:r>
    </w:p>
    <w:p w:rsidR="00F52353" w:rsidRDefault="00F52353" w:rsidP="000477A0">
      <w:pPr>
        <w:spacing w:after="0" w:line="240" w:lineRule="auto"/>
        <w:jc w:val="both"/>
        <w:rPr>
          <w:rFonts w:ascii="Arial" w:hAnsi="Arial" w:cs="Arial"/>
        </w:rPr>
      </w:pPr>
    </w:p>
    <w:p w:rsidR="00F52353" w:rsidRPr="00F52353" w:rsidRDefault="00F52353" w:rsidP="000477A0">
      <w:pPr>
        <w:spacing w:after="0" w:line="240" w:lineRule="auto"/>
        <w:jc w:val="both"/>
        <w:rPr>
          <w:rFonts w:ascii="Arial" w:hAnsi="Arial" w:cs="Arial"/>
          <w:b/>
          <w:i/>
        </w:rPr>
      </w:pPr>
      <w:r w:rsidRPr="00F52353">
        <w:rPr>
          <w:rFonts w:ascii="Arial" w:hAnsi="Arial" w:cs="Arial"/>
          <w:b/>
          <w:i/>
        </w:rPr>
        <w:t>Belastbarkeit</w:t>
      </w:r>
    </w:p>
    <w:p w:rsidR="00F52353" w:rsidRDefault="00F52353" w:rsidP="000477A0">
      <w:pPr>
        <w:pStyle w:val="Listenabsatz"/>
        <w:numPr>
          <w:ilvl w:val="0"/>
          <w:numId w:val="1"/>
        </w:numPr>
        <w:spacing w:after="0" w:line="240" w:lineRule="auto"/>
        <w:ind w:left="0"/>
        <w:jc w:val="both"/>
        <w:rPr>
          <w:rFonts w:ascii="Arial" w:hAnsi="Arial" w:cs="Arial"/>
        </w:rPr>
      </w:pPr>
      <w:r>
        <w:rPr>
          <w:rFonts w:ascii="Arial" w:hAnsi="Arial" w:cs="Arial"/>
        </w:rPr>
        <w:t>Belastbarkeit ist das Vermögen einer Person, auch in Zeiten erhöhter physischer, sozialer oder psychischer Beanspruchung arbeits- und leistungsfähig zu bleiben. Belastbarkeit lässt sich daran ablesen, wie eine Person mit erhöhtem Arbeits- oder Zeitdruck umgeht, welche Bewältigungsstrategien und Ressourcen mobilisiert werden.</w:t>
      </w:r>
    </w:p>
    <w:p w:rsidR="00F52353" w:rsidRDefault="00F52353" w:rsidP="000477A0">
      <w:pPr>
        <w:spacing w:after="0" w:line="240" w:lineRule="auto"/>
        <w:jc w:val="both"/>
        <w:rPr>
          <w:rFonts w:ascii="Arial" w:hAnsi="Arial" w:cs="Arial"/>
        </w:rPr>
      </w:pPr>
    </w:p>
    <w:p w:rsidR="00F52353" w:rsidRPr="00F52353" w:rsidRDefault="00F52353" w:rsidP="000477A0">
      <w:pPr>
        <w:spacing w:after="0" w:line="240" w:lineRule="auto"/>
        <w:jc w:val="both"/>
        <w:rPr>
          <w:rFonts w:ascii="Arial" w:hAnsi="Arial" w:cs="Arial"/>
          <w:b/>
          <w:i/>
        </w:rPr>
      </w:pPr>
      <w:r w:rsidRPr="00F52353">
        <w:rPr>
          <w:rFonts w:ascii="Arial" w:hAnsi="Arial" w:cs="Arial"/>
          <w:b/>
          <w:i/>
        </w:rPr>
        <w:t>Eigenverantwortung</w:t>
      </w:r>
      <w:r w:rsidR="00582C7F">
        <w:rPr>
          <w:rFonts w:ascii="Arial" w:hAnsi="Arial" w:cs="Arial"/>
          <w:b/>
          <w:i/>
        </w:rPr>
        <w:t xml:space="preserve"> / Selbständigkeit</w:t>
      </w:r>
    </w:p>
    <w:p w:rsidR="005F128A" w:rsidRDefault="00F52353" w:rsidP="000477A0">
      <w:pPr>
        <w:pStyle w:val="Listenabsatz"/>
        <w:numPr>
          <w:ilvl w:val="0"/>
          <w:numId w:val="1"/>
        </w:numPr>
        <w:spacing w:after="0" w:line="240" w:lineRule="auto"/>
        <w:ind w:left="0"/>
        <w:jc w:val="both"/>
        <w:rPr>
          <w:rFonts w:ascii="Arial" w:hAnsi="Arial" w:cs="Arial"/>
        </w:rPr>
      </w:pPr>
      <w:r w:rsidRPr="005F128A">
        <w:rPr>
          <w:rFonts w:ascii="Arial" w:hAnsi="Arial" w:cs="Arial"/>
        </w:rPr>
        <w:t>Eigenverantwortung / Selbständigkeit ist das Vermögen einer Person, sich eigenständig ohne Rückgriff auf fremde Autorität ein Urteil zu bilden und konsequent danach zu handeln. Eigenverantwortung / Selbständigkeit kann abgelesen werden an Verhaltensmustern der Person in widersprüchliche</w:t>
      </w:r>
      <w:r w:rsidR="005F128A" w:rsidRPr="005F128A">
        <w:rPr>
          <w:rFonts w:ascii="Arial" w:hAnsi="Arial" w:cs="Arial"/>
        </w:rPr>
        <w:t>n oder verwirrenden Situationen.</w:t>
      </w:r>
    </w:p>
    <w:p w:rsidR="005F128A" w:rsidRDefault="005F128A" w:rsidP="000477A0">
      <w:pPr>
        <w:spacing w:after="0" w:line="240" w:lineRule="auto"/>
        <w:jc w:val="both"/>
        <w:rPr>
          <w:rFonts w:ascii="Arial" w:hAnsi="Arial" w:cs="Arial"/>
        </w:rPr>
        <w:sectPr w:rsidR="005F128A" w:rsidSect="00F55D26">
          <w:headerReference w:type="default" r:id="rId8"/>
          <w:footerReference w:type="default" r:id="rId9"/>
          <w:headerReference w:type="first" r:id="rId10"/>
          <w:footerReference w:type="first" r:id="rId11"/>
          <w:pgSz w:w="11906" w:h="16838"/>
          <w:pgMar w:top="3119" w:right="1134" w:bottom="1134" w:left="1701" w:header="709" w:footer="709" w:gutter="0"/>
          <w:cols w:space="708"/>
          <w:titlePg/>
          <w:docGrid w:linePitch="360"/>
        </w:sectPr>
      </w:pPr>
    </w:p>
    <w:p w:rsidR="005F128A" w:rsidRDefault="005F128A" w:rsidP="000477A0">
      <w:pPr>
        <w:spacing w:after="0" w:line="240" w:lineRule="auto"/>
        <w:jc w:val="both"/>
        <w:rPr>
          <w:rFonts w:ascii="Arial" w:hAnsi="Arial" w:cs="Arial"/>
        </w:rPr>
        <w:sectPr w:rsidR="005F128A" w:rsidSect="005F128A">
          <w:type w:val="continuous"/>
          <w:pgSz w:w="11906" w:h="16838"/>
          <w:pgMar w:top="2552" w:right="1134" w:bottom="1134" w:left="1701" w:header="709" w:footer="709" w:gutter="0"/>
          <w:cols w:space="708"/>
          <w:titlePg/>
          <w:docGrid w:linePitch="360"/>
        </w:sectPr>
      </w:pPr>
    </w:p>
    <w:p w:rsidR="005F128A" w:rsidRDefault="005F128A" w:rsidP="000477A0">
      <w:pPr>
        <w:rPr>
          <w:rFonts w:ascii="Arial" w:hAnsi="Arial" w:cs="Arial"/>
        </w:rPr>
      </w:pPr>
      <w:r>
        <w:rPr>
          <w:rFonts w:ascii="Arial" w:hAnsi="Arial" w:cs="Arial"/>
        </w:rPr>
        <w:br w:type="page"/>
      </w:r>
    </w:p>
    <w:p w:rsidR="005F128A" w:rsidRDefault="00CA5379" w:rsidP="000477A0">
      <w:pPr>
        <w:spacing w:after="0" w:line="240" w:lineRule="auto"/>
        <w:jc w:val="both"/>
        <w:rPr>
          <w:rFonts w:ascii="Arial" w:hAnsi="Arial" w:cs="Arial"/>
          <w:b/>
          <w:i/>
        </w:rPr>
      </w:pPr>
      <w:r w:rsidRPr="00F55D26">
        <w:rPr>
          <w:rFonts w:ascii="Arial" w:hAnsi="Arial" w:cs="Arial"/>
          <w:b/>
          <w:i/>
        </w:rPr>
        <w:lastRenderedPageBreak/>
        <w:t>Z</w:t>
      </w:r>
      <w:r w:rsidR="00F55D26" w:rsidRPr="00F55D26">
        <w:rPr>
          <w:rFonts w:ascii="Arial" w:hAnsi="Arial" w:cs="Arial"/>
          <w:b/>
          <w:i/>
        </w:rPr>
        <w:t xml:space="preserve">iel- und Ergebnisorientierung / </w:t>
      </w:r>
      <w:r w:rsidRPr="00F55D26">
        <w:rPr>
          <w:rFonts w:ascii="Arial" w:hAnsi="Arial" w:cs="Arial"/>
          <w:b/>
          <w:i/>
        </w:rPr>
        <w:t>Durchsetzun</w:t>
      </w:r>
      <w:r w:rsidR="00F55D26">
        <w:rPr>
          <w:rFonts w:ascii="Arial" w:hAnsi="Arial" w:cs="Arial"/>
          <w:b/>
          <w:i/>
        </w:rPr>
        <w:t>gsvermögen / Entscheidungs- und</w:t>
      </w:r>
      <w:r w:rsidR="00F55D26">
        <w:rPr>
          <w:rFonts w:ascii="Arial" w:hAnsi="Arial" w:cs="Arial"/>
          <w:b/>
          <w:i/>
        </w:rPr>
        <w:br/>
      </w:r>
      <w:r w:rsidRPr="00F55D26">
        <w:rPr>
          <w:rFonts w:ascii="Arial" w:hAnsi="Arial" w:cs="Arial"/>
          <w:b/>
          <w:i/>
        </w:rPr>
        <w:t>Umsetzungsfähigkeiten</w:t>
      </w:r>
    </w:p>
    <w:p w:rsidR="00F55D26" w:rsidRDefault="00F55D26" w:rsidP="000477A0">
      <w:pPr>
        <w:pStyle w:val="Listenabsatz"/>
        <w:numPr>
          <w:ilvl w:val="0"/>
          <w:numId w:val="1"/>
        </w:numPr>
        <w:spacing w:after="0" w:line="240" w:lineRule="auto"/>
        <w:ind w:left="0"/>
        <w:jc w:val="both"/>
        <w:rPr>
          <w:rFonts w:ascii="Arial" w:hAnsi="Arial" w:cs="Arial"/>
        </w:rPr>
      </w:pPr>
      <w:r>
        <w:rPr>
          <w:rFonts w:ascii="Arial" w:hAnsi="Arial" w:cs="Arial"/>
        </w:rPr>
        <w:t xml:space="preserve">Ziel- und Ergebnisorientierung ist die Haltung einer Person, wenn sie Ziele verfolgt. </w:t>
      </w:r>
      <w:r w:rsidR="008C69BD">
        <w:rPr>
          <w:rFonts w:ascii="Arial" w:hAnsi="Arial" w:cs="Arial"/>
        </w:rPr>
        <w:t>Ziel</w:t>
      </w:r>
      <w:r>
        <w:rPr>
          <w:rFonts w:ascii="Arial" w:hAnsi="Arial" w:cs="Arial"/>
        </w:rPr>
        <w:t xml:space="preserve">- und Ergebnisorientierung kann am </w:t>
      </w:r>
      <w:r w:rsidR="004B1DEB">
        <w:rPr>
          <w:rFonts w:ascii="Arial" w:hAnsi="Arial" w:cs="Arial"/>
        </w:rPr>
        <w:t>V</w:t>
      </w:r>
      <w:r>
        <w:rPr>
          <w:rFonts w:ascii="Arial" w:hAnsi="Arial" w:cs="Arial"/>
        </w:rPr>
        <w:t>erhalten einer Person in Arbeitssituationen abgelesen werden, in denen sie alleine oder zusammen mit anderen Personen sich bemüht, abgesprochene Ergebnisse zu erreichen.</w:t>
      </w:r>
    </w:p>
    <w:p w:rsidR="00F55D26" w:rsidRDefault="00F55D26" w:rsidP="000477A0">
      <w:pPr>
        <w:pStyle w:val="Listenabsatz"/>
        <w:spacing w:after="0" w:line="240" w:lineRule="auto"/>
        <w:ind w:left="0"/>
        <w:jc w:val="both"/>
        <w:rPr>
          <w:rFonts w:ascii="Arial" w:hAnsi="Arial" w:cs="Arial"/>
        </w:rPr>
      </w:pPr>
      <w:r>
        <w:rPr>
          <w:rFonts w:ascii="Arial" w:hAnsi="Arial" w:cs="Arial"/>
        </w:rPr>
        <w:t>Durchsetzungsvermögen ist das Vermögen einer Person, die eigenen Ziele so bei anderen Personen vorzubringen, dass sie sich für die Realisierung dieser Ziele einsetzen. Durchsetzungsvermögen kann abgelesen werden an Verhaltens- und Argumentationsmustern einer Person in sozialen Situationen, in denen sich widersprechende Interessen ergeben.</w:t>
      </w:r>
    </w:p>
    <w:p w:rsidR="00F55D26" w:rsidRDefault="00F55D26" w:rsidP="000477A0">
      <w:pPr>
        <w:pStyle w:val="Listenabsatz"/>
        <w:spacing w:after="0" w:line="240" w:lineRule="auto"/>
        <w:ind w:left="0"/>
        <w:jc w:val="both"/>
        <w:rPr>
          <w:rFonts w:ascii="Arial" w:hAnsi="Arial" w:cs="Arial"/>
        </w:rPr>
      </w:pPr>
      <w:r>
        <w:rPr>
          <w:rFonts w:ascii="Arial" w:hAnsi="Arial" w:cs="Arial"/>
        </w:rPr>
        <w:t>Entscheidungs- und Umsetzungsfähigkeit ist das Vermögen einer Person, aufgrund gegebener Informationen Handlungsmöglichkeiten zu erkennen, diese auf ihre Umsetzbarkeit und der daraus resultierenden Konsequenzen hin einzuschätzen, eine bewusste und begründbare Wahl zu treffen, ein angemessenes Vorgehen zu planen und die gesteckten Ziele konsequent zu verfolgen.</w:t>
      </w:r>
    </w:p>
    <w:p w:rsidR="00910B5A" w:rsidRDefault="00910B5A" w:rsidP="000477A0">
      <w:pPr>
        <w:spacing w:after="0" w:line="240" w:lineRule="auto"/>
        <w:jc w:val="both"/>
        <w:rPr>
          <w:rFonts w:ascii="Arial" w:hAnsi="Arial" w:cs="Arial"/>
        </w:rPr>
      </w:pPr>
    </w:p>
    <w:p w:rsidR="00910B5A" w:rsidRDefault="00910B5A" w:rsidP="000477A0">
      <w:pPr>
        <w:spacing w:after="0" w:line="240" w:lineRule="auto"/>
        <w:jc w:val="both"/>
        <w:rPr>
          <w:rFonts w:ascii="Arial" w:hAnsi="Arial" w:cs="Arial"/>
          <w:b/>
          <w:i/>
        </w:rPr>
      </w:pPr>
      <w:r w:rsidRPr="00910B5A">
        <w:rPr>
          <w:rFonts w:ascii="Arial" w:hAnsi="Arial" w:cs="Arial"/>
          <w:b/>
          <w:i/>
        </w:rPr>
        <w:t xml:space="preserve">Kreativität und Innovationsfähigkeit / Analytisches Denken / Vision </w:t>
      </w:r>
      <w:r>
        <w:rPr>
          <w:rFonts w:ascii="Arial" w:hAnsi="Arial" w:cs="Arial"/>
          <w:b/>
          <w:i/>
        </w:rPr>
        <w:t>globale</w:t>
      </w:r>
      <w:r>
        <w:rPr>
          <w:rFonts w:ascii="Arial" w:hAnsi="Arial" w:cs="Arial"/>
          <w:b/>
          <w:i/>
        </w:rPr>
        <w:br/>
      </w:r>
      <w:r w:rsidRPr="00910B5A">
        <w:rPr>
          <w:rFonts w:ascii="Arial" w:hAnsi="Arial" w:cs="Arial"/>
          <w:b/>
          <w:i/>
        </w:rPr>
        <w:t>(Blick fürs Ganze)</w:t>
      </w:r>
    </w:p>
    <w:p w:rsidR="00A42515" w:rsidRDefault="00A42515" w:rsidP="000477A0">
      <w:pPr>
        <w:pStyle w:val="Listenabsatz"/>
        <w:numPr>
          <w:ilvl w:val="0"/>
          <w:numId w:val="1"/>
        </w:numPr>
        <w:spacing w:after="0" w:line="240" w:lineRule="auto"/>
        <w:ind w:left="0"/>
        <w:jc w:val="both"/>
        <w:rPr>
          <w:rFonts w:ascii="Arial" w:hAnsi="Arial" w:cs="Arial"/>
        </w:rPr>
      </w:pPr>
      <w:r w:rsidRPr="00A42515">
        <w:rPr>
          <w:rFonts w:ascii="Arial" w:hAnsi="Arial" w:cs="Arial"/>
        </w:rPr>
        <w:t>Kreativität und Inn</w:t>
      </w:r>
      <w:r>
        <w:rPr>
          <w:rFonts w:ascii="Arial" w:hAnsi="Arial" w:cs="Arial"/>
        </w:rPr>
        <w:t>ovationsfähigkeit ist das Vermögen einer Person, eigenständig originelle, unkonventionelle und zugleich praktikable Lösung für Situationen zu finden, in denen herkömmliche Lösungsmuster nicht möglich oder sinnvoll sind. Kreativität und Innovationsfähigkeit kann abgelesen werden am Verhalten in komplexen Problemsituationen.</w:t>
      </w:r>
    </w:p>
    <w:p w:rsidR="00A42515" w:rsidRDefault="00A42515" w:rsidP="000477A0">
      <w:pPr>
        <w:pStyle w:val="Listenabsatz"/>
        <w:spacing w:after="0" w:line="240" w:lineRule="auto"/>
        <w:ind w:left="0"/>
        <w:jc w:val="both"/>
        <w:rPr>
          <w:rFonts w:ascii="Arial" w:hAnsi="Arial" w:cs="Arial"/>
        </w:rPr>
      </w:pPr>
      <w:r>
        <w:rPr>
          <w:rFonts w:ascii="Arial" w:hAnsi="Arial" w:cs="Arial"/>
        </w:rPr>
        <w:t>Analytisches Denken</w:t>
      </w:r>
      <w:r w:rsidR="00966593">
        <w:rPr>
          <w:rFonts w:ascii="Arial" w:hAnsi="Arial" w:cs="Arial"/>
        </w:rPr>
        <w:t xml:space="preserve"> / Vision globale ist das Vermögen einer Person, Situationen und Sachverhalte in ihrer Komplexität und </w:t>
      </w:r>
      <w:r w:rsidR="00FD020C">
        <w:rPr>
          <w:rFonts w:ascii="Arial" w:hAnsi="Arial" w:cs="Arial"/>
        </w:rPr>
        <w:t>Vernetztheit</w:t>
      </w:r>
      <w:r w:rsidR="00966593">
        <w:rPr>
          <w:rFonts w:ascii="Arial" w:hAnsi="Arial" w:cs="Arial"/>
        </w:rPr>
        <w:t xml:space="preserve"> zu erkennen und adäquat zu behandeln. Vision global kann abgelesen werden an Verhaltens- und Argumentationsmustern angesichts schwieriger und ungewohnter Fragestellung, für die es keine einfache Antwort gibt.</w:t>
      </w:r>
    </w:p>
    <w:p w:rsidR="00966593" w:rsidRDefault="00966593" w:rsidP="000477A0">
      <w:pPr>
        <w:pStyle w:val="Listenabsatz"/>
        <w:spacing w:after="0" w:line="240" w:lineRule="auto"/>
        <w:ind w:left="0"/>
        <w:jc w:val="both"/>
        <w:rPr>
          <w:rFonts w:ascii="Arial" w:hAnsi="Arial" w:cs="Arial"/>
        </w:rPr>
      </w:pPr>
      <w:r>
        <w:rPr>
          <w:rFonts w:ascii="Arial" w:hAnsi="Arial" w:cs="Arial"/>
        </w:rPr>
        <w:t>Fähigkeit zur Vernetzung ist das Vermögen einer Person, ein Netz von Personen über die unmittelbare Arbeitssituation hinaus aufzubauen, zu pflegen und zur Unterstützung eigener Vorhaben gezielt einzusetzen. Fähigkeit zur Vernetzung kann abgelesen werden an Verhaltensmustern gegenüber Aussenstehenden: bei Kontaktsuche und Aufbau und Aufrechterhaltung von Kontakten.</w:t>
      </w:r>
    </w:p>
    <w:p w:rsidR="00966593" w:rsidRDefault="00966593" w:rsidP="000477A0">
      <w:pPr>
        <w:spacing w:after="0" w:line="240" w:lineRule="auto"/>
        <w:jc w:val="both"/>
        <w:rPr>
          <w:rFonts w:ascii="Arial" w:hAnsi="Arial" w:cs="Arial"/>
        </w:rPr>
      </w:pPr>
    </w:p>
    <w:p w:rsidR="00966593" w:rsidRPr="00966593" w:rsidRDefault="00966593" w:rsidP="000477A0">
      <w:pPr>
        <w:spacing w:after="0" w:line="240" w:lineRule="auto"/>
        <w:jc w:val="both"/>
        <w:rPr>
          <w:rFonts w:ascii="Arial" w:hAnsi="Arial" w:cs="Arial"/>
          <w:b/>
          <w:i/>
        </w:rPr>
      </w:pPr>
      <w:r w:rsidRPr="00966593">
        <w:rPr>
          <w:rFonts w:ascii="Arial" w:hAnsi="Arial" w:cs="Arial"/>
          <w:b/>
          <w:i/>
        </w:rPr>
        <w:t>Integrität / Loyalität</w:t>
      </w:r>
    </w:p>
    <w:p w:rsidR="00966593" w:rsidRDefault="00966593" w:rsidP="000477A0">
      <w:pPr>
        <w:pStyle w:val="Listenabsatz"/>
        <w:numPr>
          <w:ilvl w:val="0"/>
          <w:numId w:val="1"/>
        </w:numPr>
        <w:spacing w:after="0" w:line="240" w:lineRule="auto"/>
        <w:ind w:left="0"/>
        <w:jc w:val="both"/>
        <w:rPr>
          <w:rFonts w:ascii="Arial" w:hAnsi="Arial" w:cs="Arial"/>
        </w:rPr>
      </w:pPr>
      <w:r>
        <w:rPr>
          <w:rFonts w:ascii="Arial" w:hAnsi="Arial" w:cs="Arial"/>
        </w:rPr>
        <w:t>Integrität / Loyalität einer Person ist eine Eigenschaft, die sich in Verlässlichkeit, Konstanz und Konsequenz von Werthaltung und Handlungen zeigt. Integrität / Loyalität kann vor allem abgelesen werden am Verhalten in Situationen, in denen es leichter wäre, gegebene Versprechungen oder Abmachungen nicht einzuhalten.</w:t>
      </w:r>
    </w:p>
    <w:p w:rsidR="00966593" w:rsidRDefault="00966593" w:rsidP="000477A0">
      <w:pPr>
        <w:spacing w:after="0" w:line="240" w:lineRule="auto"/>
        <w:jc w:val="both"/>
        <w:rPr>
          <w:rFonts w:ascii="Arial" w:hAnsi="Arial" w:cs="Arial"/>
        </w:rPr>
      </w:pPr>
    </w:p>
    <w:p w:rsidR="00966593" w:rsidRPr="00966593" w:rsidRDefault="00966593" w:rsidP="000477A0">
      <w:pPr>
        <w:spacing w:after="0" w:line="240" w:lineRule="auto"/>
        <w:jc w:val="both"/>
        <w:rPr>
          <w:rFonts w:ascii="Arial" w:hAnsi="Arial" w:cs="Arial"/>
          <w:b/>
          <w:i/>
        </w:rPr>
      </w:pPr>
      <w:r w:rsidRPr="00966593">
        <w:rPr>
          <w:rFonts w:ascii="Arial" w:hAnsi="Arial" w:cs="Arial"/>
          <w:b/>
          <w:i/>
        </w:rPr>
        <w:t>Lern- und Veränderungsbereitschaft / Flexibilität</w:t>
      </w:r>
    </w:p>
    <w:p w:rsidR="00C36555" w:rsidRDefault="00966593" w:rsidP="000477A0">
      <w:pPr>
        <w:pStyle w:val="Listenabsatz"/>
        <w:numPr>
          <w:ilvl w:val="0"/>
          <w:numId w:val="1"/>
        </w:numPr>
        <w:spacing w:after="0" w:line="240" w:lineRule="auto"/>
        <w:ind w:left="0"/>
        <w:jc w:val="both"/>
        <w:rPr>
          <w:rFonts w:ascii="Arial" w:hAnsi="Arial" w:cs="Arial"/>
        </w:rPr>
      </w:pPr>
      <w:r w:rsidRPr="00C36555">
        <w:rPr>
          <w:rFonts w:ascii="Arial" w:hAnsi="Arial" w:cs="Arial"/>
        </w:rPr>
        <w:t>Lern- und Verhandlungsbereitschaft sowie Flexibilität ist das Vermögen einer Perso</w:t>
      </w:r>
      <w:r w:rsidR="000A1209" w:rsidRPr="00C36555">
        <w:rPr>
          <w:rFonts w:ascii="Arial" w:hAnsi="Arial" w:cs="Arial"/>
        </w:rPr>
        <w:t>n</w:t>
      </w:r>
      <w:r w:rsidRPr="00C36555">
        <w:rPr>
          <w:rFonts w:ascii="Arial" w:hAnsi="Arial" w:cs="Arial"/>
        </w:rPr>
        <w:t>, veränderten Anforderungen mit einer Erweiterung der eigenen Qualifikationen und Aktivitäten zu begegnen. Lern- und Veränderungsbereitschaft sowie Flexibilität sind abzulesen am Umgang einer Person mit neuen Anforderungen und Veränderungsdruck.</w:t>
      </w:r>
    </w:p>
    <w:p w:rsidR="00C36555" w:rsidRDefault="00C36555" w:rsidP="000477A0">
      <w:pPr>
        <w:rPr>
          <w:rFonts w:ascii="Arial" w:hAnsi="Arial" w:cs="Arial"/>
        </w:rPr>
      </w:pPr>
      <w:r>
        <w:rPr>
          <w:rFonts w:ascii="Arial" w:hAnsi="Arial" w:cs="Arial"/>
        </w:rPr>
        <w:br w:type="page"/>
      </w:r>
    </w:p>
    <w:p w:rsidR="00966593" w:rsidRPr="00C36555" w:rsidRDefault="00C36555" w:rsidP="000477A0">
      <w:pPr>
        <w:spacing w:after="0" w:line="240" w:lineRule="auto"/>
        <w:jc w:val="both"/>
        <w:rPr>
          <w:rFonts w:ascii="Arial" w:hAnsi="Arial" w:cs="Arial"/>
          <w:b/>
          <w:u w:val="single"/>
        </w:rPr>
      </w:pPr>
      <w:r w:rsidRPr="00C36555">
        <w:rPr>
          <w:rFonts w:ascii="Arial" w:hAnsi="Arial" w:cs="Arial"/>
          <w:b/>
          <w:u w:val="single"/>
        </w:rPr>
        <w:lastRenderedPageBreak/>
        <w:t>Sozialkompetenz</w:t>
      </w:r>
    </w:p>
    <w:p w:rsidR="00C36555" w:rsidRDefault="00C36555" w:rsidP="000477A0">
      <w:pPr>
        <w:spacing w:after="0" w:line="240" w:lineRule="auto"/>
        <w:jc w:val="both"/>
        <w:rPr>
          <w:rFonts w:ascii="Arial" w:hAnsi="Arial" w:cs="Arial"/>
        </w:rPr>
      </w:pPr>
    </w:p>
    <w:p w:rsidR="00C36555" w:rsidRPr="00C36555" w:rsidRDefault="00C36555" w:rsidP="000477A0">
      <w:pPr>
        <w:spacing w:after="0" w:line="240" w:lineRule="auto"/>
        <w:jc w:val="both"/>
        <w:rPr>
          <w:rFonts w:ascii="Arial" w:hAnsi="Arial" w:cs="Arial"/>
          <w:b/>
          <w:i/>
        </w:rPr>
      </w:pPr>
      <w:r w:rsidRPr="00C36555">
        <w:rPr>
          <w:rFonts w:ascii="Arial" w:hAnsi="Arial" w:cs="Arial"/>
          <w:b/>
          <w:i/>
        </w:rPr>
        <w:t>Beratungs- und Coachingkompetenz</w:t>
      </w:r>
    </w:p>
    <w:p w:rsidR="00C36555" w:rsidRDefault="00C2041B" w:rsidP="000477A0">
      <w:pPr>
        <w:pStyle w:val="Listenabsatz"/>
        <w:numPr>
          <w:ilvl w:val="0"/>
          <w:numId w:val="1"/>
        </w:numPr>
        <w:spacing w:after="0" w:line="240" w:lineRule="auto"/>
        <w:ind w:left="0"/>
        <w:jc w:val="both"/>
        <w:rPr>
          <w:rFonts w:ascii="Arial" w:hAnsi="Arial" w:cs="Arial"/>
        </w:rPr>
      </w:pPr>
      <w:r>
        <w:rPr>
          <w:rFonts w:ascii="Arial" w:hAnsi="Arial" w:cs="Arial"/>
        </w:rPr>
        <w:t>Beratungs- und Coachingkompetenz ist das Vermögen einer Person, mit anderen Personen eine tragfähige, stützende und lehrreiche Beziehung aufzubauen und aufrecht zu erhalten. Beratungs- und Coachingkompetenz kann abgelesen werden an Verhaltens- und Interaktionsmustern gegenüber Personen, zu denen eine berufliche Beziehung besteht.</w:t>
      </w:r>
    </w:p>
    <w:p w:rsidR="00C2041B" w:rsidRDefault="00C2041B" w:rsidP="000477A0">
      <w:pPr>
        <w:spacing w:after="0" w:line="240" w:lineRule="auto"/>
        <w:jc w:val="both"/>
        <w:rPr>
          <w:rFonts w:ascii="Arial" w:hAnsi="Arial" w:cs="Arial"/>
        </w:rPr>
      </w:pPr>
    </w:p>
    <w:p w:rsidR="00C2041B" w:rsidRPr="00C2041B" w:rsidRDefault="00C2041B" w:rsidP="000477A0">
      <w:pPr>
        <w:spacing w:after="0" w:line="240" w:lineRule="auto"/>
        <w:jc w:val="both"/>
        <w:rPr>
          <w:rFonts w:ascii="Arial" w:hAnsi="Arial" w:cs="Arial"/>
          <w:b/>
          <w:i/>
        </w:rPr>
      </w:pPr>
      <w:r w:rsidRPr="00C2041B">
        <w:rPr>
          <w:rFonts w:ascii="Arial" w:hAnsi="Arial" w:cs="Arial"/>
          <w:b/>
          <w:i/>
        </w:rPr>
        <w:t>Kommunikations- und Kontaktfähigkeit / Teamfähigkeit</w:t>
      </w:r>
    </w:p>
    <w:p w:rsidR="00C2041B" w:rsidRDefault="00C2041B" w:rsidP="000477A0">
      <w:pPr>
        <w:pStyle w:val="Listenabsatz"/>
        <w:numPr>
          <w:ilvl w:val="0"/>
          <w:numId w:val="1"/>
        </w:numPr>
        <w:spacing w:after="0" w:line="240" w:lineRule="auto"/>
        <w:ind w:left="0"/>
        <w:jc w:val="both"/>
        <w:rPr>
          <w:rFonts w:ascii="Arial" w:hAnsi="Arial" w:cs="Arial"/>
        </w:rPr>
      </w:pPr>
      <w:r>
        <w:rPr>
          <w:rFonts w:ascii="Arial" w:hAnsi="Arial" w:cs="Arial"/>
        </w:rPr>
        <w:t>Kommunikations- und Kontaktfähigkeit ist das Vermögen einer Person, mit einer oder mehreren Personen mündlich oder schriftlich in Kontakt zu treten, einen Dialog aufzubauen und aufrecht zu erhalten, wie eigene Standpunkte und Emotionen authentisch und glaubwürdig zu übermitteln. Kommunikations- und Kontaktfähigkeit kann abgelesen werden am verbalen und nonv</w:t>
      </w:r>
      <w:r w:rsidR="004B1DEB">
        <w:rPr>
          <w:rFonts w:ascii="Arial" w:hAnsi="Arial" w:cs="Arial"/>
        </w:rPr>
        <w:t>erbalen Verhalten einer Person.</w:t>
      </w:r>
      <w:r w:rsidR="004B1DEB">
        <w:rPr>
          <w:rFonts w:ascii="Arial" w:hAnsi="Arial" w:cs="Arial"/>
        </w:rPr>
        <w:br/>
      </w:r>
      <w:r>
        <w:rPr>
          <w:rFonts w:ascii="Arial" w:hAnsi="Arial" w:cs="Arial"/>
        </w:rPr>
        <w:t>Teamfähigkeit ist das Vermögen und die Bereitschaft einer Person, sich in Gruppen einzufügen und einen konstruktiven Beitrag zur gemeinsamen Zielerreichung zu leisten. Teamfähigkeit lässt sich ablesen an Verhaltensweisen einer Person in Gruppen, die gemeinsam Aufgaben bewältigen oder Probleme lösen.</w:t>
      </w:r>
    </w:p>
    <w:p w:rsidR="00401294" w:rsidRDefault="00401294" w:rsidP="000477A0">
      <w:pPr>
        <w:spacing w:after="0" w:line="240" w:lineRule="auto"/>
        <w:jc w:val="both"/>
        <w:rPr>
          <w:rFonts w:ascii="Arial" w:hAnsi="Arial" w:cs="Arial"/>
        </w:rPr>
      </w:pPr>
    </w:p>
    <w:p w:rsidR="00401294" w:rsidRPr="00401294" w:rsidRDefault="00401294" w:rsidP="000477A0">
      <w:pPr>
        <w:spacing w:after="0" w:line="240" w:lineRule="auto"/>
        <w:jc w:val="both"/>
        <w:rPr>
          <w:rFonts w:ascii="Arial" w:hAnsi="Arial" w:cs="Arial"/>
          <w:b/>
          <w:i/>
        </w:rPr>
      </w:pPr>
      <w:r w:rsidRPr="00401294">
        <w:rPr>
          <w:rFonts w:ascii="Arial" w:hAnsi="Arial" w:cs="Arial"/>
          <w:b/>
          <w:i/>
        </w:rPr>
        <w:t>Kritik- und Konfliktfähigkeit</w:t>
      </w:r>
    </w:p>
    <w:p w:rsidR="00401294" w:rsidRDefault="00401294" w:rsidP="000477A0">
      <w:pPr>
        <w:pStyle w:val="Listenabsatz"/>
        <w:numPr>
          <w:ilvl w:val="0"/>
          <w:numId w:val="1"/>
        </w:numPr>
        <w:spacing w:after="0" w:line="240" w:lineRule="auto"/>
        <w:ind w:left="0"/>
        <w:jc w:val="both"/>
        <w:rPr>
          <w:rFonts w:ascii="Arial" w:hAnsi="Arial" w:cs="Arial"/>
        </w:rPr>
      </w:pPr>
      <w:r>
        <w:rPr>
          <w:rFonts w:ascii="Arial" w:hAnsi="Arial" w:cs="Arial"/>
        </w:rPr>
        <w:t>Kritik- und Konfliktfähigkeit ist das Vermögen einer Person, sich als Funktionsträger und als Individuum in Konflikte einzubringen und aktiv zu einer Lösung</w:t>
      </w:r>
      <w:r w:rsidR="00FD020C">
        <w:rPr>
          <w:rFonts w:ascii="Arial" w:hAnsi="Arial" w:cs="Arial"/>
        </w:rPr>
        <w:t xml:space="preserve"> beizutragen. Kritik- und Konfliktfähigkeit kann abgelesen werden an Verhaltens- und Argumentationsmustern einer Person in Situationen, in denen widersprüchliche Ansichten und Interessen aufeinander treffen.</w:t>
      </w:r>
    </w:p>
    <w:p w:rsidR="00FD020C" w:rsidRDefault="00FD020C" w:rsidP="000477A0">
      <w:pPr>
        <w:spacing w:after="0" w:line="240" w:lineRule="auto"/>
        <w:jc w:val="both"/>
        <w:rPr>
          <w:rFonts w:ascii="Arial" w:hAnsi="Arial" w:cs="Arial"/>
        </w:rPr>
      </w:pPr>
    </w:p>
    <w:p w:rsidR="00FD020C" w:rsidRPr="00FD020C" w:rsidRDefault="00FD020C" w:rsidP="000477A0">
      <w:pPr>
        <w:spacing w:after="0" w:line="240" w:lineRule="auto"/>
        <w:jc w:val="both"/>
        <w:rPr>
          <w:rFonts w:ascii="Arial" w:hAnsi="Arial" w:cs="Arial"/>
          <w:b/>
          <w:i/>
        </w:rPr>
      </w:pPr>
      <w:r w:rsidRPr="00FD020C">
        <w:rPr>
          <w:rFonts w:ascii="Arial" w:hAnsi="Arial" w:cs="Arial"/>
          <w:b/>
          <w:i/>
        </w:rPr>
        <w:t>Kundenorientierung</w:t>
      </w:r>
    </w:p>
    <w:p w:rsidR="00FD020C" w:rsidRDefault="00FD020C" w:rsidP="000477A0">
      <w:pPr>
        <w:pStyle w:val="Listenabsatz"/>
        <w:numPr>
          <w:ilvl w:val="0"/>
          <w:numId w:val="1"/>
        </w:numPr>
        <w:spacing w:after="0" w:line="240" w:lineRule="auto"/>
        <w:ind w:left="0"/>
        <w:jc w:val="both"/>
        <w:rPr>
          <w:rFonts w:ascii="Arial" w:hAnsi="Arial" w:cs="Arial"/>
        </w:rPr>
      </w:pPr>
      <w:r>
        <w:rPr>
          <w:rFonts w:ascii="Arial" w:hAnsi="Arial" w:cs="Arial"/>
        </w:rPr>
        <w:t>Kundenorientierung ist die Fähigkeit und Bereitschaft einer Person, für unterschiedliche Anspruchsgruppen spezifischen Nutzen zu stiften. Kundenorientierung kann abgelesen werden an Einstellungen und Verhalten gegenüber Bedürfnissen von Anspruchsgruppen.</w:t>
      </w:r>
    </w:p>
    <w:p w:rsidR="00FD020C" w:rsidRDefault="00FD020C" w:rsidP="000477A0">
      <w:pPr>
        <w:spacing w:after="0" w:line="240" w:lineRule="auto"/>
        <w:jc w:val="both"/>
        <w:rPr>
          <w:rFonts w:ascii="Arial" w:hAnsi="Arial" w:cs="Arial"/>
        </w:rPr>
      </w:pPr>
    </w:p>
    <w:p w:rsidR="00FD020C" w:rsidRPr="00FD020C" w:rsidRDefault="00FD020C" w:rsidP="000477A0">
      <w:pPr>
        <w:spacing w:after="0" w:line="240" w:lineRule="auto"/>
        <w:jc w:val="both"/>
        <w:rPr>
          <w:rFonts w:ascii="Arial" w:hAnsi="Arial" w:cs="Arial"/>
          <w:b/>
          <w:i/>
        </w:rPr>
      </w:pPr>
      <w:r w:rsidRPr="00FD020C">
        <w:rPr>
          <w:rFonts w:ascii="Arial" w:hAnsi="Arial" w:cs="Arial"/>
          <w:b/>
          <w:i/>
        </w:rPr>
        <w:t>Verhandlungsgeschick</w:t>
      </w:r>
    </w:p>
    <w:p w:rsidR="00102E42" w:rsidRDefault="00FD020C" w:rsidP="000477A0">
      <w:pPr>
        <w:pStyle w:val="Listenabsatz"/>
        <w:numPr>
          <w:ilvl w:val="0"/>
          <w:numId w:val="1"/>
        </w:numPr>
        <w:spacing w:after="0" w:line="240" w:lineRule="auto"/>
        <w:ind w:left="0"/>
        <w:jc w:val="both"/>
        <w:rPr>
          <w:rFonts w:ascii="Arial" w:hAnsi="Arial" w:cs="Arial"/>
        </w:rPr>
      </w:pPr>
      <w:r w:rsidRPr="00102E42">
        <w:rPr>
          <w:rFonts w:ascii="Arial" w:hAnsi="Arial" w:cs="Arial"/>
        </w:rPr>
        <w:t>Verhandlungsgeschick ist das Vermögen und die Bereitschaft einer Person, sich in Verhandlungssituationen unter Wahrung der eigenen Interessen zielführend und konstruktiv zu verhalten. Verhandlungsgeschick kann abgelesen werden an Verhaltens- und Argumentationsmustern einer Person in Verhandlungssituationen.</w:t>
      </w:r>
    </w:p>
    <w:p w:rsidR="00102E42" w:rsidRDefault="00102E42" w:rsidP="000477A0">
      <w:pPr>
        <w:rPr>
          <w:rFonts w:ascii="Arial" w:hAnsi="Arial" w:cs="Arial"/>
        </w:rPr>
      </w:pPr>
      <w:r>
        <w:rPr>
          <w:rFonts w:ascii="Arial" w:hAnsi="Arial" w:cs="Arial"/>
        </w:rPr>
        <w:br w:type="page"/>
      </w:r>
    </w:p>
    <w:p w:rsidR="00FD020C" w:rsidRPr="00102E42" w:rsidRDefault="00102E42" w:rsidP="000477A0">
      <w:pPr>
        <w:spacing w:after="0" w:line="240" w:lineRule="auto"/>
        <w:jc w:val="both"/>
        <w:rPr>
          <w:rFonts w:ascii="Arial" w:hAnsi="Arial" w:cs="Arial"/>
          <w:b/>
          <w:u w:val="single"/>
        </w:rPr>
      </w:pPr>
      <w:r w:rsidRPr="00102E42">
        <w:rPr>
          <w:rFonts w:ascii="Arial" w:hAnsi="Arial" w:cs="Arial"/>
          <w:b/>
          <w:u w:val="single"/>
        </w:rPr>
        <w:lastRenderedPageBreak/>
        <w:t>Führungskompetenz</w:t>
      </w:r>
    </w:p>
    <w:p w:rsidR="00102E42" w:rsidRDefault="00102E42" w:rsidP="000477A0">
      <w:pPr>
        <w:spacing w:after="0" w:line="240" w:lineRule="auto"/>
        <w:jc w:val="both"/>
        <w:rPr>
          <w:rFonts w:ascii="Arial" w:hAnsi="Arial" w:cs="Arial"/>
        </w:rPr>
      </w:pPr>
    </w:p>
    <w:p w:rsidR="00102E42" w:rsidRDefault="00102E42" w:rsidP="000477A0">
      <w:pPr>
        <w:spacing w:after="0" w:line="240" w:lineRule="auto"/>
        <w:jc w:val="both"/>
        <w:rPr>
          <w:rFonts w:ascii="Arial" w:hAnsi="Arial" w:cs="Arial"/>
          <w:b/>
          <w:i/>
        </w:rPr>
      </w:pPr>
      <w:r w:rsidRPr="00102E42">
        <w:rPr>
          <w:rFonts w:ascii="Arial" w:hAnsi="Arial" w:cs="Arial"/>
          <w:b/>
          <w:i/>
        </w:rPr>
        <w:t>Unternehme</w:t>
      </w:r>
      <w:r>
        <w:rPr>
          <w:rFonts w:ascii="Arial" w:hAnsi="Arial" w:cs="Arial"/>
          <w:b/>
          <w:i/>
        </w:rPr>
        <w:t>risches Denken / Leadership-Kom</w:t>
      </w:r>
      <w:r w:rsidRPr="00102E42">
        <w:rPr>
          <w:rFonts w:ascii="Arial" w:hAnsi="Arial" w:cs="Arial"/>
          <w:b/>
          <w:i/>
        </w:rPr>
        <w:t>p</w:t>
      </w:r>
      <w:r>
        <w:rPr>
          <w:rFonts w:ascii="Arial" w:hAnsi="Arial" w:cs="Arial"/>
          <w:b/>
          <w:i/>
        </w:rPr>
        <w:t>e</w:t>
      </w:r>
      <w:r w:rsidRPr="00102E42">
        <w:rPr>
          <w:rFonts w:ascii="Arial" w:hAnsi="Arial" w:cs="Arial"/>
          <w:b/>
          <w:i/>
        </w:rPr>
        <w:t>tenz</w:t>
      </w:r>
    </w:p>
    <w:p w:rsidR="00102E42" w:rsidRPr="00102E42" w:rsidRDefault="00102E42" w:rsidP="000477A0">
      <w:pPr>
        <w:pStyle w:val="Listenabsatz"/>
        <w:numPr>
          <w:ilvl w:val="0"/>
          <w:numId w:val="1"/>
        </w:numPr>
        <w:spacing w:after="0" w:line="240" w:lineRule="auto"/>
        <w:ind w:left="0"/>
        <w:jc w:val="both"/>
        <w:rPr>
          <w:rFonts w:ascii="Arial" w:hAnsi="Arial" w:cs="Arial"/>
          <w:b/>
          <w:i/>
        </w:rPr>
      </w:pPr>
      <w:r>
        <w:rPr>
          <w:rFonts w:ascii="Arial" w:hAnsi="Arial" w:cs="Arial"/>
        </w:rPr>
        <w:t>Unternehmerisches Denken ist das Vermögen und die Bereitschaft einer Person, sich über die unmittelbare Aufgabe hinaus mit der Entwicklung des eigenen Arbetssystems zu beschäftigen, um Effektivität und Effizienz zu verbessern. Unternehmerisches Denken kann abgelesen werden an Aktivität</w:t>
      </w:r>
      <w:r w:rsidR="00C80874">
        <w:rPr>
          <w:rFonts w:ascii="Arial" w:hAnsi="Arial" w:cs="Arial"/>
        </w:rPr>
        <w:t>en</w:t>
      </w:r>
      <w:r>
        <w:rPr>
          <w:rFonts w:ascii="Arial" w:hAnsi="Arial" w:cs="Arial"/>
        </w:rPr>
        <w:t xml:space="preserve"> von Führungskräften, die eine Verbesserung der Leistung der Organisationseinheit herbeiführen sollen.</w:t>
      </w:r>
    </w:p>
    <w:p w:rsidR="00102E42" w:rsidRDefault="00102E42" w:rsidP="000477A0">
      <w:pPr>
        <w:pStyle w:val="Listenabsatz"/>
        <w:spacing w:after="0" w:line="240" w:lineRule="auto"/>
        <w:ind w:left="0"/>
        <w:jc w:val="both"/>
        <w:rPr>
          <w:rFonts w:ascii="Arial" w:hAnsi="Arial" w:cs="Arial"/>
        </w:rPr>
      </w:pPr>
      <w:r>
        <w:rPr>
          <w:rFonts w:ascii="Arial" w:hAnsi="Arial" w:cs="Arial"/>
        </w:rPr>
        <w:t>Leadership-Kompetenz ist das Vermögen und die Bereitschaft einer Person, eine weitsichtige Vorstellung von einer wünschbaren Zukunft zu entwickeln und an andere Personen so weiter zu geben, dass diese bereit sind, erhebliche Energie dafür einzusetzen. Leadership-Kompetenz kann abgelesen werden an Verhaltens- und Argumentationsmustern des Mitarbeitenden in Verhandlungssituationen.</w:t>
      </w:r>
    </w:p>
    <w:p w:rsidR="00B354F2" w:rsidRDefault="00B354F2" w:rsidP="000477A0">
      <w:pPr>
        <w:spacing w:after="0" w:line="240" w:lineRule="auto"/>
        <w:jc w:val="both"/>
        <w:rPr>
          <w:rFonts w:ascii="Arial" w:hAnsi="Arial" w:cs="Arial"/>
        </w:rPr>
      </w:pPr>
    </w:p>
    <w:p w:rsidR="00B354F2" w:rsidRPr="00C3540B" w:rsidRDefault="00B354F2" w:rsidP="000477A0">
      <w:pPr>
        <w:spacing w:after="0" w:line="240" w:lineRule="auto"/>
        <w:jc w:val="both"/>
        <w:rPr>
          <w:rFonts w:ascii="Arial" w:hAnsi="Arial" w:cs="Arial"/>
          <w:b/>
          <w:i/>
        </w:rPr>
      </w:pPr>
      <w:r w:rsidRPr="00C3540B">
        <w:rPr>
          <w:rFonts w:ascii="Arial" w:hAnsi="Arial" w:cs="Arial"/>
          <w:b/>
          <w:i/>
        </w:rPr>
        <w:t>Managementkompetenz / Mitarbeiterförderung</w:t>
      </w:r>
    </w:p>
    <w:p w:rsidR="00C3540B" w:rsidRDefault="00C3540B" w:rsidP="000477A0">
      <w:pPr>
        <w:pStyle w:val="Listenabsatz"/>
        <w:numPr>
          <w:ilvl w:val="0"/>
          <w:numId w:val="1"/>
        </w:numPr>
        <w:spacing w:after="0" w:line="240" w:lineRule="auto"/>
        <w:ind w:left="0"/>
        <w:jc w:val="both"/>
        <w:rPr>
          <w:rFonts w:ascii="Arial" w:hAnsi="Arial" w:cs="Arial"/>
        </w:rPr>
      </w:pPr>
      <w:r>
        <w:rPr>
          <w:rFonts w:ascii="Arial" w:hAnsi="Arial" w:cs="Arial"/>
        </w:rPr>
        <w:t>Managementkompetenz ist das Vermögen einer Person, eine Organisationseinh</w:t>
      </w:r>
      <w:r w:rsidR="008C69BD">
        <w:rPr>
          <w:rFonts w:ascii="Arial" w:hAnsi="Arial" w:cs="Arial"/>
        </w:rPr>
        <w:t>ei</w:t>
      </w:r>
      <w:r>
        <w:rPr>
          <w:rFonts w:ascii="Arial" w:hAnsi="Arial" w:cs="Arial"/>
        </w:rPr>
        <w:t>t auf Ziele hin auszurichten und diese zusammen mit den Mitarbeitenden zu erreiche</w:t>
      </w:r>
      <w:r w:rsidR="008C69BD">
        <w:rPr>
          <w:rFonts w:ascii="Arial" w:hAnsi="Arial" w:cs="Arial"/>
        </w:rPr>
        <w:t>n</w:t>
      </w:r>
      <w:r>
        <w:rPr>
          <w:rFonts w:ascii="Arial" w:hAnsi="Arial" w:cs="Arial"/>
        </w:rPr>
        <w:t>. Managementkompetenz / Führung kann an den Tätigkeiten des Planens, Entscheidens und Controllings abgelesen werden, sowie an der Art, wie eine Führungskraft ihre Mitarbeitenden einsetzt.</w:t>
      </w:r>
    </w:p>
    <w:p w:rsidR="00C3540B" w:rsidRDefault="00C3540B" w:rsidP="000477A0">
      <w:pPr>
        <w:pStyle w:val="Listenabsatz"/>
        <w:spacing w:after="0" w:line="240" w:lineRule="auto"/>
        <w:ind w:left="0"/>
        <w:jc w:val="both"/>
        <w:rPr>
          <w:rFonts w:ascii="Arial" w:hAnsi="Arial" w:cs="Arial"/>
        </w:rPr>
      </w:pPr>
    </w:p>
    <w:p w:rsidR="00C3540B" w:rsidRDefault="00C3540B" w:rsidP="000477A0">
      <w:pPr>
        <w:pStyle w:val="Listenabsatz"/>
        <w:spacing w:after="0" w:line="240" w:lineRule="auto"/>
        <w:ind w:left="0"/>
        <w:jc w:val="both"/>
        <w:rPr>
          <w:rFonts w:ascii="Arial" w:hAnsi="Arial" w:cs="Arial"/>
        </w:rPr>
      </w:pPr>
      <w:r>
        <w:rPr>
          <w:rFonts w:ascii="Arial" w:hAnsi="Arial" w:cs="Arial"/>
        </w:rPr>
        <w:t>Mitarbeiterförderung ist das Vermögen und die Bereitschaft einer Führungskraft, die fachliche und persönliche Entwicklung der unterstellten Mitarbeitenden zu unterstützen und sie in ihrer Vielfalt zu fördern. Die Mitarbeiterförderung kann am Verhalten von Führungskräften abgelesen werden, insbesondere wie diese die Entwicklung fachlicher und persönlicher Qualifikation einfordern und unterstützen.</w:t>
      </w:r>
    </w:p>
    <w:p w:rsidR="00C3540B" w:rsidRDefault="00C3540B" w:rsidP="000477A0">
      <w:pPr>
        <w:spacing w:after="0" w:line="240" w:lineRule="auto"/>
        <w:jc w:val="both"/>
        <w:rPr>
          <w:rFonts w:ascii="Arial" w:hAnsi="Arial" w:cs="Arial"/>
        </w:rPr>
      </w:pPr>
    </w:p>
    <w:p w:rsidR="00C3540B" w:rsidRPr="00C3540B" w:rsidRDefault="00C3540B" w:rsidP="000477A0">
      <w:pPr>
        <w:spacing w:after="0" w:line="240" w:lineRule="auto"/>
        <w:jc w:val="both"/>
        <w:rPr>
          <w:rFonts w:ascii="Arial" w:hAnsi="Arial" w:cs="Arial"/>
          <w:b/>
          <w:u w:val="single"/>
        </w:rPr>
      </w:pPr>
      <w:r w:rsidRPr="00C3540B">
        <w:rPr>
          <w:rFonts w:ascii="Arial" w:hAnsi="Arial" w:cs="Arial"/>
          <w:b/>
          <w:u w:val="single"/>
        </w:rPr>
        <w:t>Spirituelle Kompetenz</w:t>
      </w:r>
    </w:p>
    <w:p w:rsidR="00C3540B" w:rsidRPr="00C3540B" w:rsidRDefault="00C3540B" w:rsidP="000477A0">
      <w:pPr>
        <w:spacing w:after="0" w:line="240" w:lineRule="auto"/>
        <w:jc w:val="both"/>
        <w:rPr>
          <w:rFonts w:ascii="Arial" w:hAnsi="Arial" w:cs="Arial"/>
        </w:rPr>
      </w:pPr>
      <w:r>
        <w:rPr>
          <w:rFonts w:ascii="Arial" w:hAnsi="Arial" w:cs="Arial"/>
        </w:rPr>
        <w:t xml:space="preserve">Spirituelle Kompetenz ist die Bereitschaft und Fähigkeit einer Person, eigenes Leben und Rollenhandlen, als kirchliche Beauftragte, </w:t>
      </w:r>
      <w:r w:rsidR="00C80874">
        <w:rPr>
          <w:rFonts w:ascii="Arial" w:hAnsi="Arial" w:cs="Arial"/>
        </w:rPr>
        <w:t>als</w:t>
      </w:r>
      <w:r>
        <w:rPr>
          <w:rFonts w:ascii="Arial" w:hAnsi="Arial" w:cs="Arial"/>
        </w:rPr>
        <w:t xml:space="preserve"> spirituelle Lebensorte zu verstehen und </w:t>
      </w:r>
      <w:r w:rsidR="008C69BD">
        <w:rPr>
          <w:rFonts w:ascii="Arial" w:hAnsi="Arial" w:cs="Arial"/>
        </w:rPr>
        <w:t>z</w:t>
      </w:r>
      <w:r>
        <w:rPr>
          <w:rFonts w:ascii="Arial" w:hAnsi="Arial" w:cs="Arial"/>
        </w:rPr>
        <w:t>u gestalten. Spirituelle Kompetenz kann abgelesen werden an einer regelmässigen individuellen und gemeinschaftlichen spirituellen Praxis, die es ermöglicht, menschliches Leben und die Welt im Licht des Glaubens zu deuten.</w:t>
      </w:r>
    </w:p>
    <w:sectPr w:rsidR="00C3540B" w:rsidRPr="00C3540B" w:rsidSect="005F128A">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CE" w:rsidRDefault="00E666CE" w:rsidP="00E666CE">
      <w:pPr>
        <w:spacing w:after="0" w:line="240" w:lineRule="auto"/>
      </w:pPr>
      <w:r>
        <w:separator/>
      </w:r>
    </w:p>
  </w:endnote>
  <w:endnote w:type="continuationSeparator" w:id="0">
    <w:p w:rsidR="00E666CE" w:rsidRDefault="00E666CE" w:rsidP="00E6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3C" w:rsidRPr="00D8273C" w:rsidRDefault="00D8273C" w:rsidP="00D8273C">
    <w:pPr>
      <w:pStyle w:val="Fuzeile"/>
      <w:rPr>
        <w:rFonts w:ascii="Arial" w:hAnsi="Arial" w:cs="Arial"/>
        <w:sz w:val="18"/>
        <w:szCs w:val="18"/>
      </w:rPr>
    </w:pPr>
    <w:r>
      <w:rPr>
        <w:rFonts w:ascii="Arial" w:hAnsi="Arial" w:cs="Arial"/>
        <w:sz w:val="18"/>
        <w:szCs w:val="18"/>
      </w:rPr>
      <w:t>MAG</w:t>
    </w:r>
    <w:r>
      <w:rPr>
        <w:rFonts w:ascii="Arial" w:hAnsi="Arial" w:cs="Arial"/>
        <w:sz w:val="18"/>
        <w:szCs w:val="18"/>
      </w:rPr>
      <w:tab/>
    </w:r>
    <w:r>
      <w:rPr>
        <w:rFonts w:ascii="Arial" w:hAnsi="Arial" w:cs="Arial"/>
        <w:sz w:val="18"/>
        <w:szCs w:val="18"/>
      </w:rPr>
      <w:tab/>
      <w:t>Mai 2016 Ta/rib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3C" w:rsidRPr="00D8273C" w:rsidRDefault="00D8273C">
    <w:pPr>
      <w:pStyle w:val="Fuzeile"/>
      <w:rPr>
        <w:rFonts w:ascii="Arial" w:hAnsi="Arial" w:cs="Arial"/>
        <w:sz w:val="18"/>
        <w:szCs w:val="18"/>
      </w:rPr>
    </w:pPr>
    <w:r>
      <w:rPr>
        <w:rFonts w:ascii="Arial" w:hAnsi="Arial" w:cs="Arial"/>
        <w:sz w:val="18"/>
        <w:szCs w:val="18"/>
      </w:rPr>
      <w:t>MAG</w:t>
    </w:r>
    <w:r>
      <w:rPr>
        <w:rFonts w:ascii="Arial" w:hAnsi="Arial" w:cs="Arial"/>
        <w:sz w:val="18"/>
        <w:szCs w:val="18"/>
      </w:rPr>
      <w:tab/>
    </w:r>
    <w:r>
      <w:rPr>
        <w:rFonts w:ascii="Arial" w:hAnsi="Arial" w:cs="Arial"/>
        <w:sz w:val="18"/>
        <w:szCs w:val="18"/>
      </w:rPr>
      <w:tab/>
      <w:t>Mai 2016 Ta/rib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CE" w:rsidRDefault="00E666CE" w:rsidP="00E666CE">
      <w:pPr>
        <w:spacing w:after="0" w:line="240" w:lineRule="auto"/>
      </w:pPr>
      <w:r>
        <w:separator/>
      </w:r>
    </w:p>
  </w:footnote>
  <w:footnote w:type="continuationSeparator" w:id="0">
    <w:p w:rsidR="00E666CE" w:rsidRDefault="00E666CE" w:rsidP="00E6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27887851"/>
      <w:docPartObj>
        <w:docPartGallery w:val="Page Numbers (Top of Page)"/>
        <w:docPartUnique/>
      </w:docPartObj>
    </w:sdtPr>
    <w:sdtEndPr/>
    <w:sdtContent>
      <w:p w:rsidR="00F55D26" w:rsidRPr="00F55D26" w:rsidRDefault="00F55D26" w:rsidP="00F55D26">
        <w:pPr>
          <w:pStyle w:val="Kopfzeile"/>
          <w:jc w:val="center"/>
          <w:rPr>
            <w:rFonts w:ascii="Arial" w:hAnsi="Arial" w:cs="Arial"/>
            <w:sz w:val="20"/>
            <w:szCs w:val="20"/>
          </w:rPr>
        </w:pPr>
        <w:r w:rsidRPr="00F55D26">
          <w:rPr>
            <w:rFonts w:ascii="Arial" w:hAnsi="Arial" w:cs="Arial"/>
            <w:sz w:val="20"/>
            <w:szCs w:val="20"/>
          </w:rPr>
          <w:fldChar w:fldCharType="begin"/>
        </w:r>
        <w:r w:rsidRPr="00F55D26">
          <w:rPr>
            <w:rFonts w:ascii="Arial" w:hAnsi="Arial" w:cs="Arial"/>
            <w:sz w:val="20"/>
            <w:szCs w:val="20"/>
          </w:rPr>
          <w:instrText>PAGE   \* MERGEFORMAT</w:instrText>
        </w:r>
        <w:r w:rsidRPr="00F55D26">
          <w:rPr>
            <w:rFonts w:ascii="Arial" w:hAnsi="Arial" w:cs="Arial"/>
            <w:sz w:val="20"/>
            <w:szCs w:val="20"/>
          </w:rPr>
          <w:fldChar w:fldCharType="separate"/>
        </w:r>
        <w:r w:rsidR="005F119E" w:rsidRPr="005F119E">
          <w:rPr>
            <w:rFonts w:ascii="Arial" w:hAnsi="Arial" w:cs="Arial"/>
            <w:noProof/>
            <w:sz w:val="20"/>
            <w:szCs w:val="20"/>
            <w:lang w:val="de-DE"/>
          </w:rPr>
          <w:t>2</w:t>
        </w:r>
        <w:r w:rsidRPr="00F55D26">
          <w:rPr>
            <w:rFonts w:ascii="Arial" w:hAnsi="Arial" w:cs="Arial"/>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CE" w:rsidRDefault="005F119E">
    <w:pPr>
      <w:pStyle w:val="Kopfzeile"/>
    </w:pPr>
    <w:r w:rsidRPr="00871527">
      <w:rPr>
        <w:noProof/>
        <w:lang w:eastAsia="de-CH"/>
      </w:rPr>
      <w:drawing>
        <wp:anchor distT="0" distB="0" distL="114300" distR="114300" simplePos="0" relativeHeight="251658240" behindDoc="1" locked="0" layoutInCell="1" allowOverlap="1">
          <wp:simplePos x="0" y="0"/>
          <wp:positionH relativeFrom="column">
            <wp:posOffset>-689610</wp:posOffset>
          </wp:positionH>
          <wp:positionV relativeFrom="paragraph">
            <wp:posOffset>-116840</wp:posOffset>
          </wp:positionV>
          <wp:extent cx="2590800" cy="949011"/>
          <wp:effectExtent l="0" t="0" r="0" b="3810"/>
          <wp:wrapNone/>
          <wp:docPr id="1" name="Grafik 1"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490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05EAD"/>
    <w:multiLevelType w:val="hybridMultilevel"/>
    <w:tmpl w:val="2CDECB70"/>
    <w:lvl w:ilvl="0" w:tplc="022CCDE4">
      <w:start w:val="1"/>
      <w:numFmt w:val="bullet"/>
      <w:lvlText w:val=" "/>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CE"/>
    <w:rsid w:val="00032186"/>
    <w:rsid w:val="000477A0"/>
    <w:rsid w:val="000A1209"/>
    <w:rsid w:val="00102E42"/>
    <w:rsid w:val="00293860"/>
    <w:rsid w:val="00401294"/>
    <w:rsid w:val="004B1DEB"/>
    <w:rsid w:val="00582C7F"/>
    <w:rsid w:val="005C57B4"/>
    <w:rsid w:val="005F119E"/>
    <w:rsid w:val="005F128A"/>
    <w:rsid w:val="00660C7E"/>
    <w:rsid w:val="00772A8D"/>
    <w:rsid w:val="007A278D"/>
    <w:rsid w:val="00854A12"/>
    <w:rsid w:val="00866550"/>
    <w:rsid w:val="008C69BD"/>
    <w:rsid w:val="00910B5A"/>
    <w:rsid w:val="00966593"/>
    <w:rsid w:val="00A42515"/>
    <w:rsid w:val="00B354F2"/>
    <w:rsid w:val="00BA5E0D"/>
    <w:rsid w:val="00C2041B"/>
    <w:rsid w:val="00C3540B"/>
    <w:rsid w:val="00C36555"/>
    <w:rsid w:val="00C80874"/>
    <w:rsid w:val="00CA5379"/>
    <w:rsid w:val="00D8273C"/>
    <w:rsid w:val="00E666CE"/>
    <w:rsid w:val="00F52353"/>
    <w:rsid w:val="00F55D26"/>
    <w:rsid w:val="00FB5182"/>
    <w:rsid w:val="00FD020C"/>
    <w:rsid w:val="00FE4A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3B5E51-00AB-4E80-BF64-91A15932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6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6CE"/>
  </w:style>
  <w:style w:type="paragraph" w:styleId="Fuzeile">
    <w:name w:val="footer"/>
    <w:basedOn w:val="Standard"/>
    <w:link w:val="FuzeileZchn"/>
    <w:uiPriority w:val="99"/>
    <w:unhideWhenUsed/>
    <w:rsid w:val="00E666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6CE"/>
  </w:style>
  <w:style w:type="paragraph" w:styleId="Sprechblasentext">
    <w:name w:val="Balloon Text"/>
    <w:basedOn w:val="Standard"/>
    <w:link w:val="SprechblasentextZchn"/>
    <w:uiPriority w:val="99"/>
    <w:semiHidden/>
    <w:unhideWhenUsed/>
    <w:rsid w:val="00E66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6CE"/>
    <w:rPr>
      <w:rFonts w:ascii="Tahoma" w:hAnsi="Tahoma" w:cs="Tahoma"/>
      <w:sz w:val="16"/>
      <w:szCs w:val="16"/>
    </w:rPr>
  </w:style>
  <w:style w:type="paragraph" w:styleId="Listenabsatz">
    <w:name w:val="List Paragraph"/>
    <w:basedOn w:val="Standard"/>
    <w:uiPriority w:val="34"/>
    <w:qFormat/>
    <w:rsid w:val="00E666CE"/>
    <w:pPr>
      <w:ind w:left="720"/>
      <w:contextualSpacing/>
    </w:pPr>
  </w:style>
  <w:style w:type="character" w:styleId="Zeilennummer">
    <w:name w:val="line number"/>
    <w:basedOn w:val="Absatz-Standardschriftart"/>
    <w:uiPriority w:val="99"/>
    <w:semiHidden/>
    <w:unhideWhenUsed/>
    <w:rsid w:val="005F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ADB3-80C8-4EF8-A4DC-4EF21C59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Bagdasariani, Richard</dc:creator>
  <cp:lastModifiedBy>Bamathy Sarveswaran</cp:lastModifiedBy>
  <cp:revision>27</cp:revision>
  <dcterms:created xsi:type="dcterms:W3CDTF">2016-04-27T09:53:00Z</dcterms:created>
  <dcterms:modified xsi:type="dcterms:W3CDTF">2022-01-13T15:13:00Z</dcterms:modified>
</cp:coreProperties>
</file>